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D3" w:rsidRPr="00D70440" w:rsidRDefault="003327D3" w:rsidP="00FF0D18">
      <w:pPr>
        <w:spacing w:after="0"/>
        <w:jc w:val="both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D70440" w:rsidRPr="00D70440" w:rsidRDefault="00D70440" w:rsidP="00FF0D18">
      <w:pPr>
        <w:spacing w:after="0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250"/>
        <w:gridCol w:w="9476"/>
        <w:gridCol w:w="236"/>
      </w:tblGrid>
      <w:tr w:rsidR="003327D3" w:rsidTr="001915A9">
        <w:tc>
          <w:tcPr>
            <w:tcW w:w="250" w:type="dxa"/>
            <w:shd w:val="clear" w:color="auto" w:fill="CCC0D9" w:themeFill="accent4" w:themeFillTint="66"/>
          </w:tcPr>
          <w:p w:rsidR="003327D3" w:rsidRDefault="003327D3" w:rsidP="00FF0D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76" w:type="dxa"/>
            <w:shd w:val="clear" w:color="auto" w:fill="CCC0D9" w:themeFill="accent4" w:themeFillTint="66"/>
          </w:tcPr>
          <w:p w:rsidR="003327D3" w:rsidRPr="00222EF3" w:rsidRDefault="003327D3" w:rsidP="00E63E1B">
            <w:pPr>
              <w:spacing w:before="120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National Network for Specialist Sexual Violence Services</w:t>
            </w:r>
            <w:r w:rsidR="00E63E1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in Aotearoa New Zealand – How it Works</w:t>
            </w:r>
          </w:p>
          <w:p w:rsidR="003327D3" w:rsidRDefault="003327D3" w:rsidP="00FF0D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CCC0D9" w:themeFill="accent4" w:themeFillTint="66"/>
          </w:tcPr>
          <w:p w:rsidR="003327D3" w:rsidRDefault="003327D3" w:rsidP="00FF0D1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327D3" w:rsidRPr="00253EDF" w:rsidRDefault="003327D3" w:rsidP="00FF0D18">
      <w:pPr>
        <w:spacing w:after="0"/>
        <w:jc w:val="both"/>
        <w:rPr>
          <w:b/>
          <w:sz w:val="28"/>
          <w:szCs w:val="28"/>
        </w:rPr>
      </w:pPr>
    </w:p>
    <w:p w:rsidR="008B6D1E" w:rsidRPr="008B6D1E" w:rsidRDefault="003327D3" w:rsidP="00FF0D18">
      <w:pPr>
        <w:spacing w:after="0"/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6C7762">
        <w:rPr>
          <w:b/>
          <w:sz w:val="28"/>
          <w:szCs w:val="28"/>
        </w:rPr>
        <w:t>Network and its v</w:t>
      </w:r>
      <w:r w:rsidR="008B6D1E">
        <w:rPr>
          <w:b/>
          <w:sz w:val="28"/>
          <w:szCs w:val="28"/>
        </w:rPr>
        <w:t xml:space="preserve">ision </w:t>
      </w:r>
    </w:p>
    <w:p w:rsidR="008B6D1E" w:rsidRPr="008B6D1E" w:rsidRDefault="008B6D1E" w:rsidP="00FF0D18">
      <w:pPr>
        <w:spacing w:after="0"/>
        <w:jc w:val="both"/>
        <w:rPr>
          <w:b/>
          <w:sz w:val="16"/>
          <w:szCs w:val="16"/>
        </w:rPr>
      </w:pPr>
    </w:p>
    <w:p w:rsidR="003327D3" w:rsidRDefault="00253EDF" w:rsidP="00FF0D18">
      <w:pPr>
        <w:spacing w:after="40"/>
        <w:jc w:val="both"/>
      </w:pPr>
      <w:r>
        <w:t>TOAH-NNEST</w:t>
      </w:r>
      <w:proofErr w:type="gramStart"/>
      <w:r>
        <w:t>,  Te</w:t>
      </w:r>
      <w:proofErr w:type="gramEnd"/>
      <w:r>
        <w:t xml:space="preserve"> Ohaakii a Hine-</w:t>
      </w:r>
      <w:r w:rsidR="003327D3">
        <w:t>National Network En</w:t>
      </w:r>
      <w:r>
        <w:t xml:space="preserve">ding Sexual Violence Together, </w:t>
      </w:r>
      <w:r w:rsidR="003327D3">
        <w:t>is a national network of those providing specialist services for sexual violence prevention and intervention.   It represents:</w:t>
      </w:r>
    </w:p>
    <w:p w:rsidR="008B6D1E" w:rsidRPr="00D70440" w:rsidRDefault="008B6D1E" w:rsidP="00FF0D18">
      <w:pPr>
        <w:spacing w:after="40"/>
        <w:jc w:val="both"/>
        <w:rPr>
          <w:sz w:val="4"/>
          <w:szCs w:val="4"/>
        </w:rPr>
      </w:pPr>
    </w:p>
    <w:p w:rsidR="003327D3" w:rsidRDefault="003327D3" w:rsidP="00FF0D18">
      <w:pPr>
        <w:pStyle w:val="ListParagraph"/>
        <w:numPr>
          <w:ilvl w:val="0"/>
          <w:numId w:val="3"/>
        </w:numPr>
        <w:spacing w:after="40"/>
        <w:jc w:val="both"/>
      </w:pPr>
      <w:r>
        <w:t>About 40 specialist not-for-profit organisations (NGOs)</w:t>
      </w:r>
    </w:p>
    <w:p w:rsidR="003327D3" w:rsidRDefault="003327D3" w:rsidP="00D70440">
      <w:pPr>
        <w:pStyle w:val="ListParagraph"/>
        <w:numPr>
          <w:ilvl w:val="0"/>
          <w:numId w:val="3"/>
        </w:numPr>
        <w:spacing w:after="160"/>
        <w:ind w:left="714" w:hanging="357"/>
        <w:jc w:val="both"/>
      </w:pPr>
      <w:r>
        <w:t xml:space="preserve">Many individual specialists working in </w:t>
      </w:r>
      <w:proofErr w:type="spellStart"/>
      <w:r>
        <w:t>whanau</w:t>
      </w:r>
      <w:proofErr w:type="spellEnd"/>
      <w:r>
        <w:t>/family group</w:t>
      </w:r>
      <w:r w:rsidR="00D70440">
        <w:t xml:space="preserve">s, </w:t>
      </w:r>
      <w:proofErr w:type="spellStart"/>
      <w:r w:rsidR="00D70440">
        <w:t>hapu</w:t>
      </w:r>
      <w:proofErr w:type="spellEnd"/>
      <w:r w:rsidR="00D70440">
        <w:t>/extended families</w:t>
      </w:r>
      <w:proofErr w:type="gramStart"/>
      <w:r w:rsidR="00D70440">
        <w:t xml:space="preserve">,  </w:t>
      </w:r>
      <w:proofErr w:type="spellStart"/>
      <w:r w:rsidR="00D70440">
        <w:t>iwi</w:t>
      </w:r>
      <w:proofErr w:type="spellEnd"/>
      <w:proofErr w:type="gramEnd"/>
      <w:r>
        <w:t xml:space="preserve">/tribes and communities throughout Aotearoa New Zealand.  </w:t>
      </w:r>
    </w:p>
    <w:p w:rsidR="003327D3" w:rsidRDefault="003327D3" w:rsidP="00D70440">
      <w:pPr>
        <w:spacing w:after="160"/>
        <w:jc w:val="both"/>
      </w:pPr>
      <w:r>
        <w:t>It also has associate members from a wide range of allied NGOs.</w:t>
      </w:r>
    </w:p>
    <w:p w:rsidR="003327D3" w:rsidRPr="00A814B8" w:rsidRDefault="003327D3" w:rsidP="00FF0D18">
      <w:pPr>
        <w:spacing w:after="0"/>
        <w:jc w:val="both"/>
        <w:rPr>
          <w:b/>
        </w:rPr>
      </w:pPr>
      <w:r w:rsidRPr="00253EDF">
        <w:t>TOAH-NNEST’s vision is for</w:t>
      </w:r>
      <w:r w:rsidRPr="00A814B8">
        <w:rPr>
          <w:b/>
        </w:rPr>
        <w:t xml:space="preserve"> Aotearoa New Zealand </w:t>
      </w:r>
      <w:r w:rsidR="004F16C8">
        <w:rPr>
          <w:b/>
        </w:rPr>
        <w:t>to be free of sexual violence!</w:t>
      </w:r>
    </w:p>
    <w:p w:rsidR="003327D3" w:rsidRDefault="003327D3" w:rsidP="00FF0D18">
      <w:pPr>
        <w:spacing w:after="0"/>
        <w:jc w:val="both"/>
      </w:pPr>
    </w:p>
    <w:p w:rsidR="004F16C8" w:rsidRDefault="004F16C8" w:rsidP="00FF0D1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Structure reflects Maori place as indigenous people of Aotearoa NZ</w:t>
      </w:r>
    </w:p>
    <w:p w:rsidR="004F16C8" w:rsidRPr="004F16C8" w:rsidRDefault="004F16C8" w:rsidP="00FF0D18">
      <w:pPr>
        <w:spacing w:after="0"/>
        <w:jc w:val="both"/>
        <w:rPr>
          <w:b/>
          <w:sz w:val="16"/>
          <w:szCs w:val="16"/>
        </w:rPr>
      </w:pPr>
    </w:p>
    <w:p w:rsidR="004F16C8" w:rsidRDefault="004F16C8" w:rsidP="00FF0D18">
      <w:pPr>
        <w:spacing w:after="0"/>
        <w:jc w:val="both"/>
      </w:pPr>
      <w:r>
        <w:t xml:space="preserve">TOAH-NNEST’s structure provides for Maori, as the indigenous people of Aotearoa New Zealand, to control and shape their own responses to sexual violence in keeping with their own worldview and priorities. </w:t>
      </w:r>
    </w:p>
    <w:p w:rsidR="00E50B1F" w:rsidRPr="00D70440" w:rsidRDefault="00E50B1F" w:rsidP="00FF0D18">
      <w:pPr>
        <w:spacing w:after="0"/>
        <w:jc w:val="both"/>
        <w:rPr>
          <w:b/>
          <w:sz w:val="16"/>
          <w:szCs w:val="16"/>
        </w:rPr>
      </w:pPr>
    </w:p>
    <w:p w:rsidR="004F16C8" w:rsidRDefault="00E50B1F" w:rsidP="00D70440">
      <w:pPr>
        <w:spacing w:after="40"/>
        <w:jc w:val="both"/>
      </w:pPr>
      <w:r w:rsidRPr="00D70440">
        <w:t>The</w:t>
      </w:r>
      <w:r>
        <w:t xml:space="preserve"> structure is based on Aotearoa New</w:t>
      </w:r>
      <w:r w:rsidR="00F47224">
        <w:t xml:space="preserve"> Zealand</w:t>
      </w:r>
      <w:r w:rsidR="007A55A3">
        <w:t xml:space="preserve">’s foundation document, </w:t>
      </w:r>
      <w:r>
        <w:t>the 1</w:t>
      </w:r>
      <w:r w:rsidR="00F47224">
        <w:t xml:space="preserve">840 treaty </w:t>
      </w:r>
      <w:r>
        <w:t xml:space="preserve">between Maori </w:t>
      </w:r>
      <w:proofErr w:type="spellStart"/>
      <w:r>
        <w:t>hapu</w:t>
      </w:r>
      <w:proofErr w:type="spellEnd"/>
      <w:r>
        <w:t xml:space="preserve"> an</w:t>
      </w:r>
      <w:r w:rsidR="00F47224">
        <w:t xml:space="preserve">d the British Crown, Te Tiriti o Waitangi. </w:t>
      </w:r>
      <w:r w:rsidR="0064545F">
        <w:t xml:space="preserve"> </w:t>
      </w:r>
      <w:r>
        <w:t xml:space="preserve">In keeping with the relationship envisaged by this treaty, TOAH-NNEST has two </w:t>
      </w:r>
      <w:proofErr w:type="spellStart"/>
      <w:r>
        <w:t>whare</w:t>
      </w:r>
      <w:proofErr w:type="spellEnd"/>
      <w:r>
        <w:t xml:space="preserve">/houses: </w:t>
      </w:r>
    </w:p>
    <w:p w:rsidR="008B6D1E" w:rsidRPr="00D70440" w:rsidRDefault="008B6D1E" w:rsidP="00FF0D18">
      <w:pPr>
        <w:spacing w:after="0"/>
        <w:jc w:val="both"/>
        <w:rPr>
          <w:sz w:val="4"/>
          <w:szCs w:val="4"/>
        </w:rPr>
      </w:pPr>
    </w:p>
    <w:p w:rsidR="004F16C8" w:rsidRDefault="004F16C8" w:rsidP="00D70440">
      <w:pPr>
        <w:pStyle w:val="ListParagraph"/>
        <w:numPr>
          <w:ilvl w:val="0"/>
          <w:numId w:val="4"/>
        </w:numPr>
        <w:spacing w:after="0"/>
        <w:ind w:left="714" w:hanging="357"/>
        <w:jc w:val="both"/>
      </w:pPr>
      <w:proofErr w:type="spellStart"/>
      <w:r>
        <w:t>Nga</w:t>
      </w:r>
      <w:proofErr w:type="spellEnd"/>
      <w:r>
        <w:t xml:space="preserve"> </w:t>
      </w:r>
      <w:proofErr w:type="spellStart"/>
      <w:r>
        <w:t>Kaitiaki</w:t>
      </w:r>
      <w:proofErr w:type="spellEnd"/>
      <w:r>
        <w:t xml:space="preserve"> </w:t>
      </w:r>
      <w:proofErr w:type="spellStart"/>
      <w:r>
        <w:t>Mauri</w:t>
      </w:r>
      <w:proofErr w:type="spellEnd"/>
      <w:r>
        <w:t>, the indigenous caucus</w:t>
      </w:r>
    </w:p>
    <w:p w:rsidR="004F16C8" w:rsidRDefault="004F16C8" w:rsidP="00FF0D18">
      <w:pPr>
        <w:pStyle w:val="ListParagraph"/>
        <w:numPr>
          <w:ilvl w:val="0"/>
          <w:numId w:val="4"/>
        </w:numPr>
        <w:spacing w:after="0"/>
        <w:jc w:val="both"/>
      </w:pPr>
      <w:r>
        <w:t>T</w:t>
      </w:r>
      <w:r w:rsidR="005C3BBF">
        <w:t>auiwi Caucus, the non-Maori</w:t>
      </w:r>
      <w:r w:rsidR="00FC6C49">
        <w:t xml:space="preserve"> caucus.</w:t>
      </w:r>
    </w:p>
    <w:p w:rsidR="004F16C8" w:rsidRPr="00D70440" w:rsidRDefault="004F16C8" w:rsidP="00FF0D18">
      <w:pPr>
        <w:spacing w:after="0"/>
        <w:jc w:val="both"/>
        <w:rPr>
          <w:sz w:val="16"/>
          <w:szCs w:val="16"/>
        </w:rPr>
      </w:pPr>
    </w:p>
    <w:p w:rsidR="004F16C8" w:rsidRDefault="004F16C8" w:rsidP="00FF0D18">
      <w:pPr>
        <w:spacing w:after="0"/>
        <w:jc w:val="both"/>
      </w:pPr>
      <w:r>
        <w:t xml:space="preserve">The </w:t>
      </w:r>
      <w:r w:rsidR="00A473F0">
        <w:t xml:space="preserve">two </w:t>
      </w:r>
      <w:r>
        <w:t xml:space="preserve">houses work </w:t>
      </w:r>
      <w:r w:rsidR="007A55A3">
        <w:t>autonomously as well as together on common concerns</w:t>
      </w:r>
      <w:r w:rsidR="00A473F0">
        <w:t>, in accordance</w:t>
      </w:r>
      <w:r>
        <w:t xml:space="preserve"> with their own worldviews and priorities. When they work with the same people e.g. Government Ministers and officials, they </w:t>
      </w:r>
      <w:r w:rsidR="003E3163">
        <w:t xml:space="preserve">each provide </w:t>
      </w:r>
      <w:r>
        <w:t>advice</w:t>
      </w:r>
      <w:r w:rsidR="00A473F0">
        <w:t xml:space="preserve"> from their specific</w:t>
      </w:r>
      <w:r>
        <w:t xml:space="preserve"> viewpoints. </w:t>
      </w:r>
    </w:p>
    <w:p w:rsidR="004F16C8" w:rsidRDefault="004F16C8" w:rsidP="00FF0D18">
      <w:pPr>
        <w:spacing w:after="0"/>
        <w:jc w:val="both"/>
      </w:pPr>
    </w:p>
    <w:p w:rsidR="004F16C8" w:rsidRDefault="004F16C8" w:rsidP="00FF0D1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Governance</w:t>
      </w:r>
    </w:p>
    <w:p w:rsidR="004F16C8" w:rsidRPr="004F16C8" w:rsidRDefault="004F16C8" w:rsidP="00FF0D18">
      <w:pPr>
        <w:spacing w:after="0"/>
        <w:jc w:val="both"/>
        <w:rPr>
          <w:b/>
          <w:sz w:val="16"/>
          <w:szCs w:val="16"/>
        </w:rPr>
      </w:pPr>
    </w:p>
    <w:p w:rsidR="00787D95" w:rsidRDefault="004F16C8" w:rsidP="00FF0D18">
      <w:pPr>
        <w:spacing w:after="0"/>
        <w:jc w:val="both"/>
      </w:pPr>
      <w:r>
        <w:t xml:space="preserve">Representatives of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Kaitiaki</w:t>
      </w:r>
      <w:proofErr w:type="spellEnd"/>
      <w:r>
        <w:t xml:space="preserve"> </w:t>
      </w:r>
      <w:proofErr w:type="spellStart"/>
      <w:r>
        <w:t>Mauri</w:t>
      </w:r>
      <w:proofErr w:type="spellEnd"/>
      <w:r>
        <w:t xml:space="preserve"> and Tauiwi Caucus form the </w:t>
      </w:r>
      <w:proofErr w:type="spellStart"/>
      <w:r>
        <w:t>Paetakawaenga</w:t>
      </w:r>
      <w:proofErr w:type="spellEnd"/>
      <w:r w:rsidR="002A310C">
        <w:t>/</w:t>
      </w:r>
      <w:r w:rsidR="00605728">
        <w:t xml:space="preserve">executive </w:t>
      </w:r>
      <w:proofErr w:type="gramStart"/>
      <w:r w:rsidR="00605728">
        <w:t xml:space="preserve">committee </w:t>
      </w:r>
      <w:r>
        <w:t xml:space="preserve"> of</w:t>
      </w:r>
      <w:proofErr w:type="gramEnd"/>
      <w:r>
        <w:t xml:space="preserve"> TOAH-NNEST which is responsible for governance and also plays roles in service delivery and operational management.  </w:t>
      </w:r>
    </w:p>
    <w:p w:rsidR="00787D95" w:rsidRPr="00787D95" w:rsidRDefault="00787D95" w:rsidP="00FF0D18">
      <w:pPr>
        <w:spacing w:after="0"/>
        <w:jc w:val="both"/>
        <w:rPr>
          <w:sz w:val="16"/>
          <w:szCs w:val="16"/>
        </w:rPr>
      </w:pPr>
    </w:p>
    <w:p w:rsidR="004F16C8" w:rsidRDefault="004F16C8" w:rsidP="00FF0D18">
      <w:pPr>
        <w:spacing w:after="0"/>
        <w:jc w:val="both"/>
      </w:pPr>
      <w:r>
        <w:t xml:space="preserve">Representatives of each house also form the board of the charitable entity, TOAH-NNEST Trust, which is ultimately responsible for legal and financial matters. </w:t>
      </w:r>
    </w:p>
    <w:p w:rsidR="004F16C8" w:rsidRDefault="004F16C8" w:rsidP="00FF0D18">
      <w:pPr>
        <w:spacing w:after="0"/>
        <w:jc w:val="both"/>
      </w:pPr>
    </w:p>
    <w:p w:rsidR="008B6D1E" w:rsidRPr="002B59C4" w:rsidRDefault="008B6D1E" w:rsidP="00FF0D18">
      <w:pPr>
        <w:spacing w:after="0"/>
        <w:jc w:val="both"/>
        <w:rPr>
          <w:b/>
          <w:sz w:val="8"/>
          <w:szCs w:val="8"/>
        </w:rPr>
      </w:pPr>
    </w:p>
    <w:p w:rsidR="00772611" w:rsidRPr="002B59C4" w:rsidRDefault="00772611" w:rsidP="00FF0D18">
      <w:pPr>
        <w:spacing w:after="0"/>
        <w:jc w:val="both"/>
        <w:rPr>
          <w:b/>
          <w:sz w:val="16"/>
          <w:szCs w:val="16"/>
        </w:rPr>
      </w:pPr>
    </w:p>
    <w:p w:rsidR="003327D3" w:rsidRDefault="003327D3" w:rsidP="00FE448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Roles of TOAH-NNEST</w:t>
      </w:r>
    </w:p>
    <w:p w:rsidR="003327D3" w:rsidRPr="00FE4485" w:rsidRDefault="003327D3" w:rsidP="00FF0D18">
      <w:pPr>
        <w:spacing w:after="0"/>
        <w:jc w:val="both"/>
        <w:rPr>
          <w:b/>
          <w:sz w:val="12"/>
          <w:szCs w:val="12"/>
        </w:rPr>
      </w:pPr>
    </w:p>
    <w:p w:rsidR="003327D3" w:rsidRDefault="002B59C4" w:rsidP="00FF0D18">
      <w:pPr>
        <w:spacing w:after="0"/>
        <w:jc w:val="both"/>
      </w:pPr>
      <w:r>
        <w:t>TOAH-NNEST</w:t>
      </w:r>
      <w:r w:rsidR="00E63E1B">
        <w:t xml:space="preserve"> roles</w:t>
      </w:r>
      <w:r w:rsidR="003327D3">
        <w:t xml:space="preserve"> in working with its members/</w:t>
      </w:r>
      <w:proofErr w:type="spellStart"/>
      <w:r w:rsidR="003327D3">
        <w:t>ukaipotanga</w:t>
      </w:r>
      <w:proofErr w:type="spellEnd"/>
      <w:r w:rsidR="003327D3">
        <w:t>, governmen</w:t>
      </w:r>
      <w:r w:rsidR="00417994">
        <w:t>t and other key stakeholders include</w:t>
      </w:r>
      <w:r w:rsidR="003327D3">
        <w:t xml:space="preserve">: </w:t>
      </w:r>
    </w:p>
    <w:p w:rsidR="008B6D1E" w:rsidRPr="002B59C4" w:rsidRDefault="008B6D1E" w:rsidP="00FF0D18">
      <w:pPr>
        <w:spacing w:after="0"/>
        <w:jc w:val="both"/>
        <w:rPr>
          <w:sz w:val="8"/>
          <w:szCs w:val="8"/>
        </w:rPr>
      </w:pPr>
    </w:p>
    <w:p w:rsidR="003327D3" w:rsidRDefault="003327D3" w:rsidP="00CC4D97">
      <w:pPr>
        <w:pStyle w:val="ListParagraph"/>
        <w:numPr>
          <w:ilvl w:val="0"/>
          <w:numId w:val="5"/>
        </w:numPr>
        <w:spacing w:after="0"/>
        <w:ind w:left="714" w:hanging="357"/>
        <w:jc w:val="both"/>
      </w:pPr>
      <w:r>
        <w:rPr>
          <w:b/>
        </w:rPr>
        <w:t xml:space="preserve">Thought leadership </w:t>
      </w:r>
      <w:r>
        <w:t>on specialist sexual violence prevention and intervention issues</w:t>
      </w:r>
      <w:r w:rsidR="00CC4D97">
        <w:t>, both Maori and non-Maori.</w:t>
      </w:r>
    </w:p>
    <w:p w:rsidR="003327D3" w:rsidRPr="003327D3" w:rsidRDefault="003327D3" w:rsidP="00FF0D18">
      <w:pPr>
        <w:pStyle w:val="ListParagraph"/>
        <w:spacing w:afterLines="60" w:after="144"/>
        <w:ind w:left="714"/>
        <w:jc w:val="both"/>
        <w:rPr>
          <w:sz w:val="4"/>
          <w:szCs w:val="4"/>
        </w:rPr>
      </w:pPr>
    </w:p>
    <w:p w:rsidR="003327D3" w:rsidRDefault="00417994" w:rsidP="0055558A">
      <w:pPr>
        <w:pStyle w:val="ListParagraph"/>
        <w:numPr>
          <w:ilvl w:val="0"/>
          <w:numId w:val="5"/>
        </w:numPr>
        <w:spacing w:after="60"/>
        <w:ind w:left="714" w:hanging="357"/>
        <w:jc w:val="both"/>
      </w:pPr>
      <w:r>
        <w:rPr>
          <w:b/>
        </w:rPr>
        <w:t>National voice</w:t>
      </w:r>
      <w:r w:rsidR="003327D3">
        <w:rPr>
          <w:b/>
        </w:rPr>
        <w:t xml:space="preserve"> </w:t>
      </w:r>
      <w:r w:rsidR="003327D3">
        <w:t>for the broad spectrum of spe</w:t>
      </w:r>
      <w:r w:rsidR="00CC4D97">
        <w:t>cialist sexual violence service providers</w:t>
      </w:r>
      <w:r w:rsidR="003327D3">
        <w:t xml:space="preserve"> throughout the country, both Maori and non-Maori</w:t>
      </w:r>
      <w:r w:rsidR="00CC4D97">
        <w:t>.</w:t>
      </w:r>
    </w:p>
    <w:p w:rsidR="004F16C8" w:rsidRPr="004F16C8" w:rsidRDefault="004F16C8" w:rsidP="00FF0D18">
      <w:pPr>
        <w:pStyle w:val="ListParagraph"/>
        <w:spacing w:afterLines="60" w:after="144"/>
        <w:ind w:left="714"/>
        <w:jc w:val="both"/>
        <w:rPr>
          <w:sz w:val="4"/>
          <w:szCs w:val="4"/>
        </w:rPr>
      </w:pPr>
    </w:p>
    <w:p w:rsidR="0055558A" w:rsidRDefault="003327D3" w:rsidP="009B05B5">
      <w:pPr>
        <w:pStyle w:val="ListParagraph"/>
        <w:numPr>
          <w:ilvl w:val="0"/>
          <w:numId w:val="5"/>
        </w:numPr>
        <w:spacing w:after="12"/>
        <w:ind w:left="714" w:hanging="357"/>
        <w:jc w:val="both"/>
      </w:pPr>
      <w:r>
        <w:t xml:space="preserve">Assistance with </w:t>
      </w:r>
      <w:r w:rsidR="00F8484F">
        <w:t xml:space="preserve">the </w:t>
      </w:r>
      <w:r>
        <w:rPr>
          <w:b/>
        </w:rPr>
        <w:t>c</w:t>
      </w:r>
      <w:r w:rsidR="00F8484F">
        <w:rPr>
          <w:b/>
        </w:rPr>
        <w:t>apacity and capabil</w:t>
      </w:r>
      <w:r w:rsidR="0055558A">
        <w:rPr>
          <w:b/>
        </w:rPr>
        <w:t xml:space="preserve">ity building </w:t>
      </w:r>
      <w:r>
        <w:t>of service providers</w:t>
      </w:r>
      <w:r w:rsidR="00CC4D97">
        <w:t xml:space="preserve">, </w:t>
      </w:r>
      <w:r w:rsidR="0055558A">
        <w:t xml:space="preserve">including striving for </w:t>
      </w:r>
      <w:r w:rsidR="0055558A" w:rsidRPr="009B05B5">
        <w:t>sustainable funding</w:t>
      </w:r>
      <w:r w:rsidR="009B05B5" w:rsidRPr="009B05B5">
        <w:t xml:space="preserve">, </w:t>
      </w:r>
      <w:r w:rsidR="009B05B5">
        <w:t xml:space="preserve">providing </w:t>
      </w:r>
      <w:r w:rsidR="00CC4D97">
        <w:t xml:space="preserve">and supporting opportunities for </w:t>
      </w:r>
      <w:r w:rsidR="009B05B5">
        <w:t>profes</w:t>
      </w:r>
      <w:r w:rsidR="00CC4D97">
        <w:t>sional development</w:t>
      </w:r>
      <w:r w:rsidR="009B05B5">
        <w:t xml:space="preserve">, </w:t>
      </w:r>
      <w:r w:rsidR="009B05B5" w:rsidRPr="009B05B5">
        <w:t>sharing information and research, and supporting relationship building and collaboration</w:t>
      </w:r>
      <w:r w:rsidR="00CC4D97">
        <w:t>.</w:t>
      </w:r>
    </w:p>
    <w:p w:rsidR="0055558A" w:rsidRPr="0055558A" w:rsidRDefault="0055558A" w:rsidP="00CC4D97">
      <w:pPr>
        <w:pStyle w:val="ListParagraph"/>
        <w:rPr>
          <w:sz w:val="6"/>
          <w:szCs w:val="6"/>
        </w:rPr>
      </w:pPr>
    </w:p>
    <w:p w:rsidR="004F16C8" w:rsidRPr="004F16C8" w:rsidRDefault="004F16C8" w:rsidP="00E63E1B">
      <w:pPr>
        <w:pStyle w:val="ListParagraph"/>
        <w:spacing w:after="0"/>
        <w:ind w:left="714"/>
        <w:jc w:val="both"/>
        <w:rPr>
          <w:sz w:val="4"/>
          <w:szCs w:val="4"/>
        </w:rPr>
      </w:pPr>
    </w:p>
    <w:p w:rsidR="003327D3" w:rsidRPr="004F16C8" w:rsidRDefault="003327D3" w:rsidP="00CC4D97">
      <w:pPr>
        <w:pStyle w:val="ListParagraph"/>
        <w:numPr>
          <w:ilvl w:val="0"/>
          <w:numId w:val="5"/>
        </w:numPr>
        <w:spacing w:afterLines="60" w:after="144"/>
        <w:ind w:left="714" w:hanging="357"/>
        <w:jc w:val="both"/>
        <w:rPr>
          <w:b/>
        </w:rPr>
      </w:pPr>
      <w:r w:rsidRPr="003327D3">
        <w:rPr>
          <w:b/>
        </w:rPr>
        <w:t>Specialist</w:t>
      </w:r>
      <w:r w:rsidR="009B05B5">
        <w:rPr>
          <w:b/>
        </w:rPr>
        <w:t xml:space="preserve"> </w:t>
      </w:r>
      <w:r w:rsidRPr="003327D3">
        <w:rPr>
          <w:b/>
        </w:rPr>
        <w:t xml:space="preserve">advice and training opportunities </w:t>
      </w:r>
      <w:r>
        <w:t xml:space="preserve">to inform </w:t>
      </w:r>
      <w:r w:rsidR="00CC4D97">
        <w:t xml:space="preserve">government </w:t>
      </w:r>
      <w:r>
        <w:t>policy, legislati</w:t>
      </w:r>
      <w:r w:rsidR="00F8484F">
        <w:t xml:space="preserve">on, research, strategy and services </w:t>
      </w:r>
      <w:r w:rsidR="00787D95">
        <w:t>regarding sexual violence</w:t>
      </w:r>
      <w:r w:rsidR="00CC4D97">
        <w:t>.</w:t>
      </w:r>
    </w:p>
    <w:p w:rsidR="004F16C8" w:rsidRPr="004F16C8" w:rsidRDefault="004F16C8" w:rsidP="00FF0D18">
      <w:pPr>
        <w:pStyle w:val="ListParagraph"/>
        <w:spacing w:afterLines="60" w:after="144"/>
        <w:ind w:left="714"/>
        <w:jc w:val="both"/>
        <w:rPr>
          <w:b/>
          <w:sz w:val="4"/>
          <w:szCs w:val="4"/>
        </w:rPr>
      </w:pPr>
    </w:p>
    <w:p w:rsidR="003327D3" w:rsidRPr="004F16C8" w:rsidRDefault="00CC4D97" w:rsidP="00FF0D18">
      <w:pPr>
        <w:pStyle w:val="ListParagraph"/>
        <w:numPr>
          <w:ilvl w:val="0"/>
          <w:numId w:val="5"/>
        </w:numPr>
        <w:spacing w:afterLines="60" w:after="144"/>
        <w:ind w:left="714" w:hanging="357"/>
        <w:jc w:val="both"/>
        <w:rPr>
          <w:b/>
        </w:rPr>
      </w:pPr>
      <w:r>
        <w:rPr>
          <w:b/>
        </w:rPr>
        <w:t xml:space="preserve">Partnership and collaboration </w:t>
      </w:r>
      <w:r>
        <w:t xml:space="preserve">with the government and other key stakeholders </w:t>
      </w:r>
      <w:r w:rsidR="003327D3">
        <w:t>on speci</w:t>
      </w:r>
      <w:r w:rsidR="00787D95">
        <w:t>fic sexual violence initiatives</w:t>
      </w:r>
      <w:r>
        <w:t>.</w:t>
      </w:r>
    </w:p>
    <w:p w:rsidR="004F16C8" w:rsidRPr="004F16C8" w:rsidRDefault="004F16C8" w:rsidP="00FF0D18">
      <w:pPr>
        <w:pStyle w:val="ListParagraph"/>
        <w:spacing w:afterLines="60" w:after="144"/>
        <w:ind w:left="714"/>
        <w:jc w:val="both"/>
        <w:rPr>
          <w:b/>
          <w:sz w:val="4"/>
          <w:szCs w:val="4"/>
        </w:rPr>
      </w:pPr>
    </w:p>
    <w:p w:rsidR="003327D3" w:rsidRPr="004F16C8" w:rsidRDefault="003327D3" w:rsidP="00FF0D18">
      <w:pPr>
        <w:pStyle w:val="ListParagraph"/>
        <w:numPr>
          <w:ilvl w:val="0"/>
          <w:numId w:val="5"/>
        </w:numPr>
        <w:spacing w:afterLines="60" w:after="144"/>
        <w:ind w:left="714" w:hanging="357"/>
        <w:jc w:val="both"/>
        <w:rPr>
          <w:b/>
        </w:rPr>
      </w:pPr>
      <w:r>
        <w:rPr>
          <w:b/>
        </w:rPr>
        <w:t xml:space="preserve">Single access point </w:t>
      </w:r>
      <w:r w:rsidR="00CC4D97">
        <w:t xml:space="preserve">for the government and other key stakeholders </w:t>
      </w:r>
      <w:r>
        <w:t>to consult and inform se</w:t>
      </w:r>
      <w:r w:rsidR="00787D95">
        <w:t>xual violence service providers</w:t>
      </w:r>
      <w:r w:rsidR="00CC4D97">
        <w:t>.</w:t>
      </w:r>
    </w:p>
    <w:p w:rsidR="004F16C8" w:rsidRPr="004F16C8" w:rsidRDefault="004F16C8" w:rsidP="00FF0D18">
      <w:pPr>
        <w:pStyle w:val="ListParagraph"/>
        <w:spacing w:afterLines="60" w:after="144"/>
        <w:jc w:val="both"/>
        <w:rPr>
          <w:b/>
          <w:sz w:val="4"/>
          <w:szCs w:val="4"/>
        </w:rPr>
      </w:pPr>
    </w:p>
    <w:p w:rsidR="003327D3" w:rsidRPr="003327D3" w:rsidRDefault="003327D3" w:rsidP="00FF0D18">
      <w:pPr>
        <w:pStyle w:val="ListParagraph"/>
        <w:numPr>
          <w:ilvl w:val="0"/>
          <w:numId w:val="5"/>
        </w:numPr>
        <w:spacing w:afterLines="60" w:after="144"/>
        <w:ind w:left="714" w:hanging="357"/>
        <w:jc w:val="both"/>
        <w:rPr>
          <w:b/>
        </w:rPr>
      </w:pPr>
      <w:r>
        <w:t xml:space="preserve">Assistance for the government to better meet its </w:t>
      </w:r>
      <w:r w:rsidR="004A373F">
        <w:rPr>
          <w:b/>
        </w:rPr>
        <w:t>Te Tiriti o Waitangi</w:t>
      </w:r>
      <w:r w:rsidRPr="003327D3">
        <w:rPr>
          <w:b/>
        </w:rPr>
        <w:t xml:space="preserve"> obligations</w:t>
      </w:r>
      <w:r>
        <w:t xml:space="preserve"> regarding sexual violence issues for Maori. </w:t>
      </w:r>
    </w:p>
    <w:p w:rsidR="00D77E9A" w:rsidRPr="00D77E9A" w:rsidRDefault="00D77E9A" w:rsidP="008B6D1E">
      <w:pPr>
        <w:pStyle w:val="ListParagraph"/>
        <w:spacing w:after="4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250"/>
        <w:gridCol w:w="9476"/>
        <w:gridCol w:w="236"/>
      </w:tblGrid>
      <w:tr w:rsidR="00D77E9A" w:rsidTr="001915A9">
        <w:tc>
          <w:tcPr>
            <w:tcW w:w="250" w:type="dxa"/>
            <w:shd w:val="clear" w:color="auto" w:fill="CCC0D9" w:themeFill="accent4" w:themeFillTint="66"/>
          </w:tcPr>
          <w:p w:rsidR="00D77E9A" w:rsidRDefault="00D77E9A" w:rsidP="003327D3"/>
        </w:tc>
        <w:tc>
          <w:tcPr>
            <w:tcW w:w="9476" w:type="dxa"/>
            <w:shd w:val="clear" w:color="auto" w:fill="CCC0D9" w:themeFill="accent4" w:themeFillTint="66"/>
          </w:tcPr>
          <w:p w:rsidR="008B6D1E" w:rsidRDefault="0073680C" w:rsidP="0038620C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Spectrum of sexual violence services r</w:t>
            </w:r>
            <w:r w:rsidR="008B6D1E">
              <w:rPr>
                <w:b/>
                <w:sz w:val="28"/>
                <w:szCs w:val="28"/>
              </w:rPr>
              <w:t>epresented by TOAH-NNEST</w:t>
            </w:r>
          </w:p>
          <w:p w:rsidR="008B6D1E" w:rsidRDefault="008B6D1E" w:rsidP="00FF0D18">
            <w:pPr>
              <w:jc w:val="both"/>
              <w:rPr>
                <w:b/>
                <w:sz w:val="16"/>
                <w:szCs w:val="16"/>
              </w:rPr>
            </w:pPr>
          </w:p>
          <w:p w:rsidR="008B6D1E" w:rsidRDefault="008B6D1E" w:rsidP="00FF0D18">
            <w:pPr>
              <w:jc w:val="both"/>
            </w:pPr>
            <w:r>
              <w:t>The wide spectrum of specialist sexual violence services represented by the TOAH-NNEST includes:</w:t>
            </w:r>
          </w:p>
          <w:p w:rsidR="008B6D1E" w:rsidRDefault="008B6D1E" w:rsidP="00FF0D18">
            <w:pPr>
              <w:jc w:val="both"/>
              <w:rPr>
                <w:sz w:val="16"/>
                <w:szCs w:val="16"/>
              </w:rPr>
            </w:pPr>
          </w:p>
          <w:p w:rsidR="008B6D1E" w:rsidRDefault="008B6D1E" w:rsidP="00772611">
            <w:pPr>
              <w:spacing w:after="40"/>
              <w:jc w:val="both"/>
            </w:pPr>
            <w:r w:rsidRPr="00974F39">
              <w:rPr>
                <w:b/>
              </w:rPr>
              <w:t xml:space="preserve">Primary prevention </w:t>
            </w:r>
            <w:r w:rsidR="00BC2CD3">
              <w:t xml:space="preserve"> </w:t>
            </w:r>
            <w:r w:rsidR="0055558A">
              <w:t>P</w:t>
            </w:r>
            <w:r>
              <w:t xml:space="preserve">romoting healthy social norms in </w:t>
            </w:r>
            <w:proofErr w:type="spellStart"/>
            <w:r>
              <w:t>whanau</w:t>
            </w:r>
            <w:proofErr w:type="spellEnd"/>
            <w:r>
              <w:t xml:space="preserve">/family groups, </w:t>
            </w:r>
            <w:proofErr w:type="spellStart"/>
            <w:r>
              <w:t>hapu</w:t>
            </w:r>
            <w:proofErr w:type="spellEnd"/>
            <w:r>
              <w:t xml:space="preserve">/extended families, </w:t>
            </w:r>
            <w:proofErr w:type="spellStart"/>
            <w:r>
              <w:t>iwi</w:t>
            </w:r>
            <w:proofErr w:type="spellEnd"/>
            <w:r>
              <w:t>/tribes and communities</w:t>
            </w:r>
          </w:p>
          <w:p w:rsidR="008B6D1E" w:rsidRPr="008B6D1E" w:rsidRDefault="008B6D1E" w:rsidP="00FF0D18">
            <w:pPr>
              <w:pStyle w:val="ListParagraph"/>
              <w:spacing w:after="40"/>
              <w:jc w:val="both"/>
              <w:rPr>
                <w:sz w:val="6"/>
                <w:szCs w:val="6"/>
              </w:rPr>
            </w:pPr>
          </w:p>
          <w:p w:rsidR="008B6D1E" w:rsidRDefault="008B6D1E" w:rsidP="00974F39">
            <w:pPr>
              <w:spacing w:after="40"/>
              <w:jc w:val="both"/>
            </w:pPr>
            <w:r w:rsidRPr="00974F39">
              <w:rPr>
                <w:b/>
              </w:rPr>
              <w:t xml:space="preserve">Early intervention </w:t>
            </w:r>
          </w:p>
          <w:p w:rsidR="008B6D1E" w:rsidRDefault="008B6D1E" w:rsidP="00974F39">
            <w:pPr>
              <w:pStyle w:val="ListParagraph"/>
              <w:numPr>
                <w:ilvl w:val="1"/>
                <w:numId w:val="6"/>
              </w:numPr>
              <w:spacing w:after="40"/>
              <w:ind w:left="743"/>
              <w:jc w:val="both"/>
            </w:pPr>
            <w:r>
              <w:t>Crisis support for victim/survivors, including support in the criminal justice system</w:t>
            </w:r>
          </w:p>
          <w:p w:rsidR="00974F39" w:rsidRPr="00974F39" w:rsidRDefault="00974F39" w:rsidP="00974F39">
            <w:pPr>
              <w:pStyle w:val="ListParagraph"/>
              <w:spacing w:after="40"/>
              <w:ind w:left="743"/>
              <w:jc w:val="both"/>
              <w:rPr>
                <w:sz w:val="4"/>
                <w:szCs w:val="4"/>
              </w:rPr>
            </w:pPr>
          </w:p>
          <w:p w:rsidR="008B6D1E" w:rsidRDefault="008B6D1E" w:rsidP="00974F39">
            <w:pPr>
              <w:pStyle w:val="ListParagraph"/>
              <w:numPr>
                <w:ilvl w:val="1"/>
                <w:numId w:val="6"/>
              </w:numPr>
              <w:spacing w:after="40"/>
              <w:ind w:left="743"/>
              <w:jc w:val="both"/>
            </w:pPr>
            <w:r>
              <w:t>Forensic medical services for victim/survivors</w:t>
            </w:r>
          </w:p>
          <w:p w:rsidR="00974F39" w:rsidRPr="00974F39" w:rsidRDefault="00974F39" w:rsidP="00974F39">
            <w:pPr>
              <w:pStyle w:val="ListParagraph"/>
              <w:rPr>
                <w:sz w:val="4"/>
                <w:szCs w:val="4"/>
              </w:rPr>
            </w:pPr>
          </w:p>
          <w:p w:rsidR="008B6D1E" w:rsidRDefault="008B6D1E" w:rsidP="00974F39">
            <w:pPr>
              <w:pStyle w:val="ListParagraph"/>
              <w:numPr>
                <w:ilvl w:val="1"/>
                <w:numId w:val="6"/>
              </w:numPr>
              <w:spacing w:after="40"/>
              <w:ind w:left="743"/>
              <w:jc w:val="both"/>
            </w:pPr>
            <w:r>
              <w:t>Support for children displaying inappropriate sexualised behaviours</w:t>
            </w:r>
          </w:p>
          <w:p w:rsidR="008B6D1E" w:rsidRPr="008B6D1E" w:rsidRDefault="008B6D1E" w:rsidP="00FF0D18">
            <w:pPr>
              <w:pStyle w:val="ListParagraph"/>
              <w:spacing w:after="40"/>
              <w:ind w:left="1440"/>
              <w:jc w:val="both"/>
              <w:rPr>
                <w:sz w:val="6"/>
                <w:szCs w:val="6"/>
              </w:rPr>
            </w:pPr>
          </w:p>
          <w:p w:rsidR="008B6D1E" w:rsidRDefault="008B6D1E" w:rsidP="00974F39">
            <w:pPr>
              <w:spacing w:after="40"/>
              <w:jc w:val="both"/>
            </w:pPr>
            <w:r w:rsidRPr="00974F39">
              <w:rPr>
                <w:b/>
              </w:rPr>
              <w:t xml:space="preserve">Recovery and support </w:t>
            </w:r>
            <w:r>
              <w:t>for victim/survivors</w:t>
            </w:r>
          </w:p>
          <w:p w:rsidR="008B6D1E" w:rsidRPr="008B6D1E" w:rsidRDefault="008B6D1E" w:rsidP="00FF0D18">
            <w:pPr>
              <w:pStyle w:val="ListParagraph"/>
              <w:spacing w:after="40"/>
              <w:jc w:val="both"/>
              <w:rPr>
                <w:sz w:val="6"/>
                <w:szCs w:val="6"/>
              </w:rPr>
            </w:pPr>
          </w:p>
          <w:p w:rsidR="008B6D1E" w:rsidRDefault="008B6D1E" w:rsidP="00974F39">
            <w:pPr>
              <w:spacing w:after="40"/>
              <w:jc w:val="both"/>
            </w:pPr>
            <w:r w:rsidRPr="00974F39">
              <w:rPr>
                <w:b/>
              </w:rPr>
              <w:t xml:space="preserve">Longer term treatment </w:t>
            </w:r>
            <w:r>
              <w:t>for victim/survivors with high and complex needs</w:t>
            </w:r>
          </w:p>
          <w:p w:rsidR="008B6D1E" w:rsidRPr="008B6D1E" w:rsidRDefault="008B6D1E" w:rsidP="00FF0D18">
            <w:pPr>
              <w:pStyle w:val="ListParagraph"/>
              <w:spacing w:after="40"/>
              <w:jc w:val="both"/>
              <w:rPr>
                <w:sz w:val="6"/>
                <w:szCs w:val="6"/>
              </w:rPr>
            </w:pPr>
          </w:p>
          <w:p w:rsidR="008B6D1E" w:rsidRDefault="008B6D1E" w:rsidP="00974F39">
            <w:pPr>
              <w:spacing w:after="40"/>
              <w:jc w:val="both"/>
            </w:pPr>
            <w:r w:rsidRPr="00974F39">
              <w:rPr>
                <w:b/>
              </w:rPr>
              <w:t xml:space="preserve">Offender treatment </w:t>
            </w:r>
            <w:r>
              <w:t>and other responses to people with harmful sexual behaviour</w:t>
            </w:r>
          </w:p>
          <w:p w:rsidR="008B6D1E" w:rsidRPr="008B6D1E" w:rsidRDefault="008B6D1E" w:rsidP="00FF0D18">
            <w:pPr>
              <w:pStyle w:val="ListParagraph"/>
              <w:jc w:val="both"/>
              <w:rPr>
                <w:sz w:val="6"/>
                <w:szCs w:val="6"/>
              </w:rPr>
            </w:pPr>
          </w:p>
          <w:p w:rsidR="008B6D1E" w:rsidRDefault="008B6D1E" w:rsidP="00974F39">
            <w:pPr>
              <w:spacing w:after="40"/>
              <w:jc w:val="both"/>
            </w:pPr>
            <w:r w:rsidRPr="00974F39">
              <w:rPr>
                <w:b/>
              </w:rPr>
              <w:t xml:space="preserve">Specialist advice and training </w:t>
            </w:r>
            <w:r>
              <w:t xml:space="preserve">for government agencies and for professionals working with sexual violence </w:t>
            </w:r>
            <w:r w:rsidRPr="00FE4485">
              <w:rPr>
                <w:sz w:val="20"/>
                <w:szCs w:val="20"/>
              </w:rPr>
              <w:t>e.g. psyc</w:t>
            </w:r>
            <w:r w:rsidR="00FE4485">
              <w:rPr>
                <w:sz w:val="20"/>
                <w:szCs w:val="20"/>
              </w:rPr>
              <w:t xml:space="preserve">hologists, counsellors, GPs, </w:t>
            </w:r>
            <w:r w:rsidRPr="00FE4485">
              <w:rPr>
                <w:sz w:val="20"/>
                <w:szCs w:val="20"/>
              </w:rPr>
              <w:t>nurses, health workers</w:t>
            </w:r>
            <w:r w:rsidR="00FE4485">
              <w:rPr>
                <w:sz w:val="20"/>
                <w:szCs w:val="20"/>
              </w:rPr>
              <w:t>, teachers</w:t>
            </w:r>
            <w:r w:rsidRPr="00FE4485">
              <w:rPr>
                <w:sz w:val="20"/>
                <w:szCs w:val="20"/>
              </w:rPr>
              <w:t xml:space="preserve"> and social workers</w:t>
            </w:r>
          </w:p>
          <w:p w:rsidR="008B6D1E" w:rsidRPr="008B6D1E" w:rsidRDefault="008B6D1E" w:rsidP="00FF0D18">
            <w:pPr>
              <w:pStyle w:val="ListParagraph"/>
              <w:jc w:val="both"/>
              <w:rPr>
                <w:sz w:val="6"/>
                <w:szCs w:val="6"/>
              </w:rPr>
            </w:pPr>
          </w:p>
          <w:p w:rsidR="00D77E9A" w:rsidRDefault="008B6D1E" w:rsidP="00FE4485">
            <w:pPr>
              <w:spacing w:after="240"/>
              <w:jc w:val="both"/>
            </w:pPr>
            <w:r w:rsidRPr="00974F39">
              <w:rPr>
                <w:b/>
              </w:rPr>
              <w:t xml:space="preserve">Promotion of law reform </w:t>
            </w:r>
            <w:r>
              <w:t xml:space="preserve">to increase the accountability of offenders. </w:t>
            </w:r>
          </w:p>
        </w:tc>
        <w:tc>
          <w:tcPr>
            <w:tcW w:w="236" w:type="dxa"/>
            <w:shd w:val="clear" w:color="auto" w:fill="CCC0D9" w:themeFill="accent4" w:themeFillTint="66"/>
          </w:tcPr>
          <w:p w:rsidR="00D77E9A" w:rsidRDefault="00D77E9A" w:rsidP="003327D3"/>
        </w:tc>
      </w:tr>
    </w:tbl>
    <w:p w:rsidR="002D0C7C" w:rsidRDefault="002D0C7C" w:rsidP="00772611">
      <w:pPr>
        <w:spacing w:after="0"/>
      </w:pPr>
    </w:p>
    <w:sectPr w:rsidR="002D0C7C" w:rsidSect="00162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7F" w:rsidRDefault="00F90C7F" w:rsidP="002D0C7C">
      <w:pPr>
        <w:spacing w:after="0" w:line="240" w:lineRule="auto"/>
      </w:pPr>
      <w:r>
        <w:separator/>
      </w:r>
    </w:p>
  </w:endnote>
  <w:endnote w:type="continuationSeparator" w:id="0">
    <w:p w:rsidR="00F90C7F" w:rsidRDefault="00F90C7F" w:rsidP="002D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8A" w:rsidRDefault="00F36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7C" w:rsidRPr="00B526D9" w:rsidRDefault="0069133E" w:rsidP="004A5D0E">
    <w:pPr>
      <w:spacing w:before="120" w:after="0" w:line="240" w:lineRule="auto"/>
      <w:jc w:val="center"/>
      <w:rPr>
        <w:rFonts w:ascii="Calibri" w:hAnsi="Calibri" w:cs="Calibri"/>
        <w:color w:val="7030A0"/>
        <w:sz w:val="16"/>
        <w:szCs w:val="16"/>
      </w:rPr>
    </w:pPr>
    <w:r w:rsidRPr="00B526D9">
      <w:rPr>
        <w:rFonts w:ascii="Calibri" w:hAnsi="Calibri" w:cs="Calibri"/>
        <w:color w:val="7030A0"/>
        <w:sz w:val="16"/>
        <w:szCs w:val="16"/>
      </w:rPr>
      <w:t>PO Box 24406, Manners Street, Wellington 6142</w:t>
    </w:r>
    <w:r w:rsidR="0048444E" w:rsidRPr="00B526D9">
      <w:rPr>
        <w:rFonts w:ascii="Calibri" w:hAnsi="Calibri" w:cs="Calibri"/>
        <w:color w:val="7030A0"/>
        <w:sz w:val="16"/>
        <w:szCs w:val="16"/>
      </w:rPr>
      <w:t>, Aotearoa New Zealand</w:t>
    </w:r>
    <w:r w:rsidR="004A5D0E">
      <w:rPr>
        <w:rFonts w:ascii="Calibri" w:hAnsi="Calibri" w:cs="Calibri"/>
        <w:color w:val="7030A0"/>
        <w:sz w:val="16"/>
        <w:szCs w:val="16"/>
      </w:rPr>
      <w:t xml:space="preserve">             </w:t>
    </w:r>
    <w:r w:rsidR="002D0C7C" w:rsidRPr="00B526D9">
      <w:rPr>
        <w:rFonts w:ascii="Calibri" w:hAnsi="Calibri" w:cs="Calibri"/>
        <w:color w:val="7030A0"/>
        <w:sz w:val="16"/>
        <w:szCs w:val="16"/>
      </w:rPr>
      <w:t xml:space="preserve">Level 6, Education House, 178-182 Willis St, </w:t>
    </w:r>
    <w:r w:rsidRPr="00B526D9">
      <w:rPr>
        <w:rFonts w:ascii="Calibri" w:hAnsi="Calibri" w:cs="Calibri"/>
        <w:color w:val="7030A0"/>
        <w:sz w:val="16"/>
        <w:szCs w:val="16"/>
      </w:rPr>
      <w:t>Wellington</w:t>
    </w:r>
    <w:r w:rsidR="0048444E" w:rsidRPr="00B526D9">
      <w:rPr>
        <w:rFonts w:ascii="Calibri" w:hAnsi="Calibri" w:cs="Calibri"/>
        <w:color w:val="7030A0"/>
        <w:sz w:val="16"/>
        <w:szCs w:val="16"/>
      </w:rPr>
      <w:t xml:space="preserve"> </w:t>
    </w:r>
  </w:p>
  <w:p w:rsidR="0048444E" w:rsidRPr="00B526D9" w:rsidRDefault="0048444E" w:rsidP="00D15333">
    <w:pPr>
      <w:spacing w:after="0" w:line="240" w:lineRule="auto"/>
      <w:jc w:val="center"/>
      <w:rPr>
        <w:rFonts w:ascii="Calibri" w:hAnsi="Calibri" w:cs="Calibri"/>
        <w:color w:val="7030A0"/>
        <w:sz w:val="16"/>
        <w:szCs w:val="16"/>
      </w:rPr>
    </w:pPr>
    <w:r w:rsidRPr="00B526D9">
      <w:rPr>
        <w:rFonts w:ascii="Calibri" w:hAnsi="Calibri" w:cs="Calibri"/>
        <w:color w:val="7030A0"/>
        <w:sz w:val="16"/>
        <w:szCs w:val="16"/>
      </w:rPr>
      <w:t>Tauiwi Caucus</w:t>
    </w:r>
    <w:r w:rsidR="004A5D0E">
      <w:rPr>
        <w:rFonts w:ascii="Calibri" w:hAnsi="Calibri" w:cs="Calibri"/>
        <w:color w:val="7030A0"/>
        <w:sz w:val="16"/>
        <w:szCs w:val="16"/>
      </w:rPr>
      <w:t xml:space="preserve"> (Non-Maori)</w:t>
    </w:r>
    <w:r w:rsidRPr="00B526D9">
      <w:rPr>
        <w:rFonts w:ascii="Calibri" w:hAnsi="Calibri" w:cs="Calibri"/>
        <w:color w:val="7030A0"/>
        <w:sz w:val="16"/>
        <w:szCs w:val="16"/>
      </w:rPr>
      <w:t xml:space="preserve">:  Dr Kim McGregor   Email </w:t>
    </w:r>
    <w:hyperlink r:id="rId1" w:history="1">
      <w:r w:rsidRPr="00B526D9">
        <w:rPr>
          <w:rStyle w:val="Hyperlink"/>
          <w:rFonts w:ascii="Calibri" w:hAnsi="Calibri" w:cs="Calibri"/>
          <w:sz w:val="16"/>
          <w:szCs w:val="16"/>
        </w:rPr>
        <w:t>kim@rapecrisis.org.nz</w:t>
      </w:r>
    </w:hyperlink>
    <w:r w:rsidRPr="00B526D9">
      <w:rPr>
        <w:rFonts w:ascii="Calibri" w:hAnsi="Calibri" w:cs="Calibri"/>
        <w:color w:val="7030A0"/>
        <w:sz w:val="16"/>
        <w:szCs w:val="16"/>
      </w:rPr>
      <w:t xml:space="preserve">   Phone 64 (0)9 361 2721</w:t>
    </w:r>
  </w:p>
  <w:p w:rsidR="0069133E" w:rsidRPr="00B526D9" w:rsidRDefault="004A5D0E" w:rsidP="00D15333">
    <w:pPr>
      <w:spacing w:after="0" w:line="240" w:lineRule="auto"/>
      <w:jc w:val="center"/>
      <w:rPr>
        <w:rFonts w:ascii="Calibri" w:hAnsi="Calibri" w:cs="Calibri"/>
        <w:color w:val="7030A0"/>
        <w:sz w:val="16"/>
        <w:szCs w:val="16"/>
      </w:rPr>
    </w:pPr>
    <w:r>
      <w:rPr>
        <w:rFonts w:ascii="Calibri" w:hAnsi="Calibri" w:cs="Calibri"/>
        <w:color w:val="7030A0"/>
        <w:sz w:val="16"/>
        <w:szCs w:val="16"/>
      </w:rPr>
      <w:t xml:space="preserve"> </w:t>
    </w:r>
    <w:proofErr w:type="spellStart"/>
    <w:r>
      <w:rPr>
        <w:rFonts w:ascii="Calibri" w:hAnsi="Calibri" w:cs="Calibri"/>
        <w:color w:val="7030A0"/>
        <w:sz w:val="16"/>
        <w:szCs w:val="16"/>
      </w:rPr>
      <w:t>Nga</w:t>
    </w:r>
    <w:proofErr w:type="spellEnd"/>
    <w:r>
      <w:rPr>
        <w:rFonts w:ascii="Calibri" w:hAnsi="Calibri" w:cs="Calibri"/>
        <w:color w:val="7030A0"/>
        <w:sz w:val="16"/>
        <w:szCs w:val="16"/>
      </w:rPr>
      <w:t xml:space="preserve"> </w:t>
    </w:r>
    <w:proofErr w:type="spellStart"/>
    <w:r>
      <w:rPr>
        <w:rFonts w:ascii="Calibri" w:hAnsi="Calibri" w:cs="Calibri"/>
        <w:color w:val="7030A0"/>
        <w:sz w:val="16"/>
        <w:szCs w:val="16"/>
      </w:rPr>
      <w:t>Kaitiaki</w:t>
    </w:r>
    <w:proofErr w:type="spellEnd"/>
    <w:r>
      <w:rPr>
        <w:rFonts w:ascii="Calibri" w:hAnsi="Calibri" w:cs="Calibri"/>
        <w:color w:val="7030A0"/>
        <w:sz w:val="16"/>
        <w:szCs w:val="16"/>
      </w:rPr>
      <w:t xml:space="preserve"> </w:t>
    </w:r>
    <w:proofErr w:type="spellStart"/>
    <w:r>
      <w:rPr>
        <w:rFonts w:ascii="Calibri" w:hAnsi="Calibri" w:cs="Calibri"/>
        <w:color w:val="7030A0"/>
        <w:sz w:val="16"/>
        <w:szCs w:val="16"/>
      </w:rPr>
      <w:t>Mauri</w:t>
    </w:r>
    <w:proofErr w:type="spellEnd"/>
    <w:r>
      <w:rPr>
        <w:rFonts w:ascii="Calibri" w:hAnsi="Calibri" w:cs="Calibri"/>
        <w:color w:val="7030A0"/>
        <w:sz w:val="16"/>
        <w:szCs w:val="16"/>
      </w:rPr>
      <w:t xml:space="preserve"> (Maori): </w:t>
    </w:r>
    <w:r w:rsidR="0048444E" w:rsidRPr="00B526D9">
      <w:rPr>
        <w:rFonts w:ascii="Calibri" w:hAnsi="Calibri" w:cs="Calibri"/>
        <w:color w:val="7030A0"/>
        <w:sz w:val="16"/>
        <w:szCs w:val="16"/>
      </w:rPr>
      <w:t xml:space="preserve"> </w:t>
    </w:r>
    <w:proofErr w:type="spellStart"/>
    <w:r w:rsidR="0048444E" w:rsidRPr="00B526D9">
      <w:rPr>
        <w:rFonts w:ascii="Calibri" w:hAnsi="Calibri" w:cs="Calibri"/>
        <w:color w:val="7030A0"/>
        <w:sz w:val="16"/>
        <w:szCs w:val="16"/>
      </w:rPr>
      <w:t>Sandz</w:t>
    </w:r>
    <w:proofErr w:type="spellEnd"/>
    <w:r w:rsidR="0048444E" w:rsidRPr="00B526D9">
      <w:rPr>
        <w:rFonts w:ascii="Calibri" w:hAnsi="Calibri" w:cs="Calibri"/>
        <w:color w:val="7030A0"/>
        <w:sz w:val="16"/>
        <w:szCs w:val="16"/>
      </w:rPr>
      <w:t xml:space="preserve"> </w:t>
    </w:r>
    <w:proofErr w:type="spellStart"/>
    <w:r w:rsidR="0048444E" w:rsidRPr="00B526D9">
      <w:rPr>
        <w:rFonts w:ascii="Calibri" w:hAnsi="Calibri" w:cs="Calibri"/>
        <w:color w:val="7030A0"/>
        <w:sz w:val="16"/>
        <w:szCs w:val="16"/>
      </w:rPr>
      <w:t>Peipi</w:t>
    </w:r>
    <w:proofErr w:type="spellEnd"/>
    <w:r w:rsidR="0048444E" w:rsidRPr="00B526D9">
      <w:rPr>
        <w:rFonts w:ascii="Calibri" w:hAnsi="Calibri" w:cs="Calibri"/>
        <w:color w:val="7030A0"/>
        <w:sz w:val="16"/>
        <w:szCs w:val="16"/>
      </w:rPr>
      <w:t xml:space="preserve"> </w:t>
    </w:r>
    <w:proofErr w:type="spellStart"/>
    <w:r w:rsidR="0048444E" w:rsidRPr="00B526D9">
      <w:rPr>
        <w:rFonts w:ascii="Calibri" w:hAnsi="Calibri" w:cs="Calibri"/>
        <w:color w:val="7030A0"/>
        <w:sz w:val="16"/>
        <w:szCs w:val="16"/>
      </w:rPr>
      <w:t>Te</w:t>
    </w:r>
    <w:proofErr w:type="spellEnd"/>
    <w:r w:rsidR="0048444E" w:rsidRPr="00B526D9">
      <w:rPr>
        <w:rFonts w:ascii="Calibri" w:hAnsi="Calibri" w:cs="Calibri"/>
        <w:color w:val="7030A0"/>
        <w:sz w:val="16"/>
        <w:szCs w:val="16"/>
      </w:rPr>
      <w:t xml:space="preserve"> </w:t>
    </w:r>
    <w:proofErr w:type="spellStart"/>
    <w:r w:rsidR="0048444E" w:rsidRPr="00B526D9">
      <w:rPr>
        <w:rFonts w:ascii="Calibri" w:hAnsi="Calibri" w:cs="Calibri"/>
        <w:color w:val="7030A0"/>
        <w:sz w:val="16"/>
        <w:szCs w:val="16"/>
      </w:rPr>
      <w:t>Pou</w:t>
    </w:r>
    <w:proofErr w:type="spellEnd"/>
    <w:r w:rsidR="0048444E" w:rsidRPr="00B526D9">
      <w:rPr>
        <w:rFonts w:ascii="Calibri" w:hAnsi="Calibri" w:cs="Calibri"/>
        <w:color w:val="7030A0"/>
        <w:sz w:val="16"/>
        <w:szCs w:val="16"/>
      </w:rPr>
      <w:t xml:space="preserve"> </w:t>
    </w:r>
    <w:r w:rsidR="00F3648A">
      <w:rPr>
        <w:rFonts w:ascii="Calibri" w:hAnsi="Calibri" w:cs="Calibri"/>
        <w:color w:val="7030A0"/>
        <w:sz w:val="16"/>
        <w:szCs w:val="16"/>
      </w:rPr>
      <w:t xml:space="preserve">  </w:t>
    </w:r>
    <w:r w:rsidR="0048444E" w:rsidRPr="00B526D9">
      <w:rPr>
        <w:rFonts w:ascii="Calibri" w:hAnsi="Calibri" w:cs="Calibri"/>
        <w:color w:val="7030A0"/>
        <w:sz w:val="16"/>
        <w:szCs w:val="16"/>
      </w:rPr>
      <w:t xml:space="preserve">Email </w:t>
    </w:r>
    <w:hyperlink r:id="rId2" w:history="1">
      <w:r w:rsidR="0048444E" w:rsidRPr="00B526D9">
        <w:rPr>
          <w:rStyle w:val="Hyperlink"/>
          <w:rFonts w:ascii="Calibri" w:hAnsi="Calibri" w:cs="Calibri"/>
          <w:sz w:val="16"/>
          <w:szCs w:val="16"/>
        </w:rPr>
        <w:t>nkmsandz@toah-nnest.org.nz</w:t>
      </w:r>
    </w:hyperlink>
    <w:r w:rsidR="0048444E" w:rsidRPr="00B526D9">
      <w:rPr>
        <w:rFonts w:ascii="Calibri" w:hAnsi="Calibri" w:cs="Calibri"/>
        <w:color w:val="7030A0"/>
        <w:sz w:val="16"/>
        <w:szCs w:val="16"/>
      </w:rPr>
      <w:t xml:space="preserve"> Phone 64 (0)4 385 9176</w:t>
    </w:r>
  </w:p>
  <w:p w:rsidR="002D0C7C" w:rsidRDefault="002D0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8A" w:rsidRDefault="00F36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7F" w:rsidRDefault="00F90C7F" w:rsidP="002D0C7C">
      <w:pPr>
        <w:spacing w:after="0" w:line="240" w:lineRule="auto"/>
      </w:pPr>
      <w:r>
        <w:separator/>
      </w:r>
    </w:p>
  </w:footnote>
  <w:footnote w:type="continuationSeparator" w:id="0">
    <w:p w:rsidR="00F90C7F" w:rsidRDefault="00F90C7F" w:rsidP="002D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8A" w:rsidRDefault="00F36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7C" w:rsidRDefault="00B16D47" w:rsidP="002D0C7C">
    <w:pPr>
      <w:pStyle w:val="Header"/>
      <w:jc w:val="center"/>
    </w:pPr>
    <w:r>
      <w:rPr>
        <w:noProof/>
      </w:rPr>
      <w:drawing>
        <wp:inline distT="0" distB="0" distL="0" distR="0" wp14:anchorId="026BF086" wp14:editId="01F7063F">
          <wp:extent cx="4295775" cy="813081"/>
          <wp:effectExtent l="0" t="0" r="0" b="6350"/>
          <wp:docPr id="1" name="Picture 0" descr="Tauiwi cauc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uiwi cauc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5775" cy="81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8A" w:rsidRDefault="00F36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2C6"/>
    <w:multiLevelType w:val="hybridMultilevel"/>
    <w:tmpl w:val="2D0C98A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A0197"/>
    <w:multiLevelType w:val="hybridMultilevel"/>
    <w:tmpl w:val="5518D68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E6B44"/>
    <w:multiLevelType w:val="hybridMultilevel"/>
    <w:tmpl w:val="C27A6CD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A5155"/>
    <w:multiLevelType w:val="hybridMultilevel"/>
    <w:tmpl w:val="FF44809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A16E7"/>
    <w:multiLevelType w:val="hybridMultilevel"/>
    <w:tmpl w:val="C6DC8E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743AD"/>
    <w:multiLevelType w:val="hybridMultilevel"/>
    <w:tmpl w:val="7A7694B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65D74"/>
    <w:multiLevelType w:val="hybridMultilevel"/>
    <w:tmpl w:val="D9C6300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BA"/>
    <w:rsid w:val="00034FFC"/>
    <w:rsid w:val="000960CD"/>
    <w:rsid w:val="000A23DD"/>
    <w:rsid w:val="000A7B00"/>
    <w:rsid w:val="000B6485"/>
    <w:rsid w:val="000F0BE6"/>
    <w:rsid w:val="001334EE"/>
    <w:rsid w:val="00162E91"/>
    <w:rsid w:val="001915A9"/>
    <w:rsid w:val="001D4DCB"/>
    <w:rsid w:val="00253EDF"/>
    <w:rsid w:val="00265B55"/>
    <w:rsid w:val="002744FD"/>
    <w:rsid w:val="002759A1"/>
    <w:rsid w:val="00282887"/>
    <w:rsid w:val="002A2DCD"/>
    <w:rsid w:val="002A310C"/>
    <w:rsid w:val="002B59C4"/>
    <w:rsid w:val="002D0C7C"/>
    <w:rsid w:val="00306005"/>
    <w:rsid w:val="003327D3"/>
    <w:rsid w:val="0038620C"/>
    <w:rsid w:val="003A5523"/>
    <w:rsid w:val="003C542F"/>
    <w:rsid w:val="003E3163"/>
    <w:rsid w:val="00417994"/>
    <w:rsid w:val="00476FC3"/>
    <w:rsid w:val="0048444E"/>
    <w:rsid w:val="004A373F"/>
    <w:rsid w:val="004A5D0E"/>
    <w:rsid w:val="004C7C78"/>
    <w:rsid w:val="004F16C8"/>
    <w:rsid w:val="0055558A"/>
    <w:rsid w:val="0058166D"/>
    <w:rsid w:val="005B726C"/>
    <w:rsid w:val="005C3BBF"/>
    <w:rsid w:val="00605728"/>
    <w:rsid w:val="00642E48"/>
    <w:rsid w:val="0064545F"/>
    <w:rsid w:val="006656BB"/>
    <w:rsid w:val="00677DFE"/>
    <w:rsid w:val="0069133E"/>
    <w:rsid w:val="006C7762"/>
    <w:rsid w:val="006D475E"/>
    <w:rsid w:val="0073680C"/>
    <w:rsid w:val="00771F59"/>
    <w:rsid w:val="00772611"/>
    <w:rsid w:val="00787D95"/>
    <w:rsid w:val="00794242"/>
    <w:rsid w:val="007942A9"/>
    <w:rsid w:val="007A55A3"/>
    <w:rsid w:val="008B6D1E"/>
    <w:rsid w:val="00974F39"/>
    <w:rsid w:val="0098257E"/>
    <w:rsid w:val="009A6D92"/>
    <w:rsid w:val="009B05B5"/>
    <w:rsid w:val="00A473F0"/>
    <w:rsid w:val="00AE7B49"/>
    <w:rsid w:val="00AE7F2C"/>
    <w:rsid w:val="00B16D47"/>
    <w:rsid w:val="00B40F21"/>
    <w:rsid w:val="00B526D9"/>
    <w:rsid w:val="00B72EBA"/>
    <w:rsid w:val="00BC2CD3"/>
    <w:rsid w:val="00C0239A"/>
    <w:rsid w:val="00CC4D97"/>
    <w:rsid w:val="00D07B5B"/>
    <w:rsid w:val="00D15333"/>
    <w:rsid w:val="00D5349F"/>
    <w:rsid w:val="00D70440"/>
    <w:rsid w:val="00D77E9A"/>
    <w:rsid w:val="00DB438E"/>
    <w:rsid w:val="00E50B1F"/>
    <w:rsid w:val="00E63E1B"/>
    <w:rsid w:val="00F3648A"/>
    <w:rsid w:val="00F47224"/>
    <w:rsid w:val="00F748E6"/>
    <w:rsid w:val="00F8484F"/>
    <w:rsid w:val="00F90C7F"/>
    <w:rsid w:val="00FC6C49"/>
    <w:rsid w:val="00FE4485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7C"/>
  </w:style>
  <w:style w:type="paragraph" w:styleId="Footer">
    <w:name w:val="footer"/>
    <w:basedOn w:val="Normal"/>
    <w:link w:val="FooterChar"/>
    <w:uiPriority w:val="99"/>
    <w:unhideWhenUsed/>
    <w:rsid w:val="002D0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7C"/>
  </w:style>
  <w:style w:type="paragraph" w:styleId="BalloonText">
    <w:name w:val="Balloon Text"/>
    <w:basedOn w:val="Normal"/>
    <w:link w:val="BalloonTextChar"/>
    <w:uiPriority w:val="99"/>
    <w:semiHidden/>
    <w:unhideWhenUsed/>
    <w:rsid w:val="002D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4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5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7C"/>
  </w:style>
  <w:style w:type="paragraph" w:styleId="Footer">
    <w:name w:val="footer"/>
    <w:basedOn w:val="Normal"/>
    <w:link w:val="FooterChar"/>
    <w:uiPriority w:val="99"/>
    <w:unhideWhenUsed/>
    <w:rsid w:val="002D0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7C"/>
  </w:style>
  <w:style w:type="paragraph" w:styleId="BalloonText">
    <w:name w:val="Balloon Text"/>
    <w:basedOn w:val="Normal"/>
    <w:link w:val="BalloonTextChar"/>
    <w:uiPriority w:val="99"/>
    <w:semiHidden/>
    <w:unhideWhenUsed/>
    <w:rsid w:val="002D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4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5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kmsandz@toah-nnest.org.nz" TargetMode="External"/><Relationship Id="rId1" Type="http://schemas.openxmlformats.org/officeDocument/2006/relationships/hyperlink" Target="mailto:kim@rapecrisis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WZI9BHO7\Letterhead%20-%20Tauiwi%20caucus%20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Tauiwi caucus dotx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Gina</cp:lastModifiedBy>
  <cp:revision>2</cp:revision>
  <cp:lastPrinted>2013-06-05T03:20:00Z</cp:lastPrinted>
  <dcterms:created xsi:type="dcterms:W3CDTF">2013-08-31T07:24:00Z</dcterms:created>
  <dcterms:modified xsi:type="dcterms:W3CDTF">2013-08-31T07:24:00Z</dcterms:modified>
</cp:coreProperties>
</file>